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1434766C" w14:textId="77777777" w:rsidTr="00A06425">
        <w:tc>
          <w:tcPr>
            <w:tcW w:w="15388" w:type="dxa"/>
            <w:gridSpan w:val="6"/>
            <w:vAlign w:val="center"/>
          </w:tcPr>
          <w:p w14:paraId="6BF9B19E" w14:textId="482C7D00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1A19B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1A19B1" w:rsidRPr="001A19B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WIEDZ@ - Węzły Integracji Edukacji i Danych Zasobów Akademickich</w:t>
            </w:r>
          </w:p>
          <w:p w14:paraId="651FE8D7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51FC971F" w14:textId="77777777" w:rsidTr="00A06425">
        <w:tc>
          <w:tcPr>
            <w:tcW w:w="562" w:type="dxa"/>
            <w:vAlign w:val="center"/>
          </w:tcPr>
          <w:p w14:paraId="3BAFB97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1351A6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6D41CB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1028427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38BB71C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7E27C84C" w14:textId="77777777" w:rsidTr="00A06425">
        <w:tc>
          <w:tcPr>
            <w:tcW w:w="562" w:type="dxa"/>
          </w:tcPr>
          <w:p w14:paraId="623E541B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C2D7377" w14:textId="6EB729E3" w:rsidR="00A06425" w:rsidRPr="00A06425" w:rsidRDefault="001A19B1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6B36609" w14:textId="6AD91795" w:rsidR="00A06425" w:rsidRPr="00A06425" w:rsidRDefault="001A19B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04A03537" w14:textId="7B201F67" w:rsidR="001A19B1" w:rsidRPr="001A19B1" w:rsidRDefault="001A19B1" w:rsidP="001A19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Projekt przewiduje budowę federacyjnej platformy integrującej zasoby naukowe, archiwalne i dziedzictwa kulturowego, obejmującej m.in. agregację metadanych, wyszukiwanie semantyczne, API oraz udostępnianie zasobów cyfrowych</w:t>
            </w:r>
            <w:r w:rsidR="00452BEA">
              <w:rPr>
                <w:rFonts w:asciiTheme="minorHAnsi" w:hAnsiTheme="minorHAnsi" w:cstheme="minorHAnsi"/>
                <w:sz w:val="22"/>
                <w:szCs w:val="22"/>
              </w:rPr>
              <w:t xml:space="preserve"> (bez repozytorium zapasowego)</w:t>
            </w: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. Zakres ten może częściowo pokrywać się z funkcjonalnościami rozwijanymi w innych projektach finansowanych lub planowanych do finansowania w ramach FERC, w szczególności projekcie KRONIK@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2.0</w:t>
            </w: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B5E3DE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03112984" w14:textId="4031D01F" w:rsidR="001A19B1" w:rsidRPr="001A19B1" w:rsidRDefault="001A19B1" w:rsidP="001A19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Prosimy o przedstawienie analizy komplementarności projektu względem innych przedsięwzięć realizowanych lub planowanych do realizacji w ramach FERC, w szczególności projektu KRONIK@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2.0</w:t>
            </w: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 xml:space="preserve">, wraz ze wskazaniem zakresów funkcjonalnych, które nie będą się dublować, sposobu zapewnienia interoperacyjności oraz mechanizmów eliminujących ryzyko podwójnego finansowania podobnych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przedsięwzięć.</w:t>
            </w:r>
          </w:p>
          <w:p w14:paraId="1979066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2F78EA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55DCC8C3" w14:textId="77777777" w:rsidTr="00A06425">
        <w:tc>
          <w:tcPr>
            <w:tcW w:w="562" w:type="dxa"/>
          </w:tcPr>
          <w:p w14:paraId="573BF794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3295DF3A" w14:textId="03CECA81" w:rsidR="00A06425" w:rsidRPr="00A06425" w:rsidRDefault="001A19B1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E2935B7" w14:textId="77777777" w:rsidR="001A19B1" w:rsidRPr="001A19B1" w:rsidRDefault="001A19B1" w:rsidP="001A19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Rozdział 4.2 „Wykaz poszczególnych pozycji kosztowych”</w:t>
            </w:r>
          </w:p>
          <w:p w14:paraId="3AA1949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2D98C7E5" w14:textId="77777777" w:rsidR="001A19B1" w:rsidRPr="001A19B1" w:rsidRDefault="001A19B1" w:rsidP="001A19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Z przedstawionej struktury budżetu wynika, że dominującą pozycję kosztową stanowi budowa i rozwój oprogramowania (26,39 mln zł z 35,85 mln zł całkowitego budżetu projektu). Jednocześnie projekt jest zgłaszany w ramach działania FERC 02.03 ukierunkowanego na cyfrową dostępność i ponowne wykorzystanie informacji. W obecnym kształcie dokumentacji nie jest możliwa ocena proporcji pomiędzy wydatkami przeznaczonymi na digitalizację zasobów a wydatkami związanymi z budową systemów informatycznych, integracją oraz komponentami AI.</w:t>
            </w:r>
          </w:p>
          <w:p w14:paraId="63CDC9C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52C9D9EF" w14:textId="77777777" w:rsidR="001A19B1" w:rsidRPr="001A19B1" w:rsidRDefault="001A19B1" w:rsidP="001A19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Prosimy o przedstawienie szczegółowego podziału kosztów pomiędzy działania digitalizacyjne, udostępnianie zasobów, integrację źródeł danych, rozwój oprogramowania, komponenty AI oraz pozostałe działania projektowe.</w:t>
            </w:r>
          </w:p>
          <w:p w14:paraId="68C3CE1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AC5EB3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28879644" w14:textId="77777777" w:rsidTr="00A06425">
        <w:tc>
          <w:tcPr>
            <w:tcW w:w="562" w:type="dxa"/>
          </w:tcPr>
          <w:p w14:paraId="120EB46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592B01BF" w14:textId="2F3B5B0E" w:rsidR="00A06425" w:rsidRPr="00A06425" w:rsidRDefault="001A19B1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845AC4D" w14:textId="77777777" w:rsidR="001A19B1" w:rsidRPr="001A19B1" w:rsidRDefault="001A19B1" w:rsidP="001A19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 xml:space="preserve">Rozdział 2.3 „Udostępnione informacje sektora </w:t>
            </w:r>
            <w:r w:rsidRPr="001A19B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publicznego i </w:t>
            </w:r>
            <w:proofErr w:type="spellStart"/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1A19B1">
              <w:rPr>
                <w:rFonts w:asciiTheme="minorHAnsi" w:hAnsiTheme="minorHAnsi" w:cstheme="minorHAnsi"/>
                <w:sz w:val="22"/>
                <w:szCs w:val="22"/>
              </w:rPr>
              <w:t xml:space="preserve"> zasoby” oraz rozdział 2.1 „Cele i KPI”</w:t>
            </w:r>
          </w:p>
          <w:p w14:paraId="61EED6A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3D0D4E24" w14:textId="77777777" w:rsidR="001A19B1" w:rsidRPr="001A19B1" w:rsidRDefault="001A19B1" w:rsidP="001A19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 dokumentacji jako jednostki pomiaru wykorzystywane są jednocześnie strony dokumentów, klatki mikrofilmowe, rekordy metadanych, publikacje, tłumaczenia, rekordy </w:t>
            </w:r>
            <w:r w:rsidRPr="001A19B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analityczne oraz pakiety ruchu sieciowego. W związku z tym nie jest możliwa ocena porównywalności danych wykorzystywanych do wyliczenia wskaźników projektu.</w:t>
            </w:r>
          </w:p>
          <w:p w14:paraId="22AE7FF8" w14:textId="77777777" w:rsidR="00A06425" w:rsidRPr="00A06425" w:rsidRDefault="00A06425" w:rsidP="001A19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67AE7EC1" w14:textId="77777777" w:rsidR="001A19B1" w:rsidRPr="001A19B1" w:rsidRDefault="001A19B1" w:rsidP="001A19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Prosimy o przedstawienie szczegółowej metodologii liczenia wskaźników oraz wskazanie zasad agregowania różnych kategorii obiektów w ramach wspólnych wskaźników projektu.</w:t>
            </w:r>
          </w:p>
          <w:p w14:paraId="1B700DC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4CC9BF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37A8B702" w14:textId="77777777" w:rsidTr="00A06425">
        <w:tc>
          <w:tcPr>
            <w:tcW w:w="562" w:type="dxa"/>
          </w:tcPr>
          <w:p w14:paraId="749C722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30D394D6" w14:textId="464F5DEF" w:rsidR="00A06425" w:rsidRPr="00A06425" w:rsidRDefault="001A19B1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82B4B7A" w14:textId="77777777" w:rsidR="001A19B1" w:rsidRPr="001A19B1" w:rsidRDefault="001A19B1" w:rsidP="001A19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Rozdział 2.1 – KPI nr 3 „Liczba podmiotów, które udostępniły informacje sektora publicznego/dane prywatne on-line”</w:t>
            </w:r>
          </w:p>
          <w:p w14:paraId="4001B3C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FCF0DB1" w14:textId="77777777" w:rsidR="001A19B1" w:rsidRPr="001A19B1" w:rsidRDefault="001A19B1" w:rsidP="001A19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19B1">
              <w:rPr>
                <w:rFonts w:asciiTheme="minorHAnsi" w:hAnsiTheme="minorHAnsi" w:cstheme="minorHAnsi"/>
                <w:sz w:val="22"/>
                <w:szCs w:val="22"/>
              </w:rPr>
              <w:t>Wartość docelowa wskaźnika została określona na poziomie 4 podmiotów, podczas gdy projekt przewiduje integrację danych pochodzących z licznych krajowych i zagranicznych systemów, repozytoriów i platform. Sposób określenia wartości docelowej wskaźnika nie został wyjaśniony.</w:t>
            </w:r>
          </w:p>
          <w:p w14:paraId="1C5AB19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3B019DDF" w14:textId="77777777" w:rsidR="00452BEA" w:rsidRPr="00452BEA" w:rsidRDefault="00452BEA" w:rsidP="00452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2BEA">
              <w:rPr>
                <w:rFonts w:asciiTheme="minorHAnsi" w:hAnsiTheme="minorHAnsi" w:cstheme="minorHAnsi"/>
                <w:sz w:val="22"/>
                <w:szCs w:val="22"/>
              </w:rPr>
              <w:t>Prosimy o wskazanie podmiotów uwzględnionych przy kalkulacji wskaźnika oraz przedstawienie metodologii określenia jego wartości docelowej.</w:t>
            </w:r>
          </w:p>
          <w:p w14:paraId="5E5A93BD" w14:textId="13CEA383" w:rsidR="00A06425" w:rsidRPr="00A06425" w:rsidRDefault="00A06425" w:rsidP="00452B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3E29CD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8D9BCA8" w14:textId="77777777" w:rsidTr="00A06425">
        <w:tc>
          <w:tcPr>
            <w:tcW w:w="562" w:type="dxa"/>
          </w:tcPr>
          <w:p w14:paraId="5E8190B5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B994673" w14:textId="6DD38173" w:rsidR="00A06425" w:rsidRPr="00A06425" w:rsidRDefault="001A19B1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32306353" w14:textId="71BEADBE" w:rsidR="00A06425" w:rsidRPr="00A06425" w:rsidRDefault="00452BEA" w:rsidP="00452B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2BEA">
              <w:rPr>
                <w:rFonts w:asciiTheme="minorHAnsi" w:hAnsiTheme="minorHAnsi" w:cstheme="minorHAnsi"/>
                <w:sz w:val="22"/>
                <w:szCs w:val="22"/>
              </w:rPr>
              <w:t>Rozdział 2.2 „Udostępnione e-usługi”</w:t>
            </w:r>
          </w:p>
        </w:tc>
        <w:tc>
          <w:tcPr>
            <w:tcW w:w="4678" w:type="dxa"/>
          </w:tcPr>
          <w:p w14:paraId="055F2DD0" w14:textId="3D58CF03" w:rsidR="00A06425" w:rsidRPr="00A06425" w:rsidRDefault="00452BEA" w:rsidP="00452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2BEA">
              <w:rPr>
                <w:rFonts w:asciiTheme="minorHAnsi" w:hAnsiTheme="minorHAnsi" w:cstheme="minorHAnsi"/>
                <w:sz w:val="22"/>
                <w:szCs w:val="22"/>
              </w:rPr>
              <w:t>Wszystkie planowane e-usługi zostały zakwalifikowane jako usługi o poziomie dojrzałości „Transakcja”. Z przedstawionych opisów wynika jednak, że usługi obejmują głównie wyszukiwanie, analizę i pobieranie danych oraz metadanych.</w:t>
            </w:r>
          </w:p>
        </w:tc>
        <w:tc>
          <w:tcPr>
            <w:tcW w:w="5812" w:type="dxa"/>
          </w:tcPr>
          <w:p w14:paraId="0DB242C5" w14:textId="77777777" w:rsidR="00452BEA" w:rsidRPr="00452BEA" w:rsidRDefault="00452BEA" w:rsidP="00452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2BEA">
              <w:rPr>
                <w:rFonts w:asciiTheme="minorHAnsi" w:hAnsiTheme="minorHAnsi" w:cstheme="minorHAnsi"/>
                <w:sz w:val="22"/>
                <w:szCs w:val="22"/>
              </w:rPr>
              <w:t>Prosimy o przedstawienie uzasadnienia dla zakwalifikowania wszystkich usług do poziomu dojrzałości „Transakcja” oraz wskazanie elementów świadczących o spełnieniu kryteriów tego poziomu dojrzałości.</w:t>
            </w:r>
          </w:p>
          <w:p w14:paraId="2F6D430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DB2364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52BEA" w:rsidRPr="00A06425" w14:paraId="44F9D54D" w14:textId="77777777" w:rsidTr="00A06425">
        <w:tc>
          <w:tcPr>
            <w:tcW w:w="562" w:type="dxa"/>
          </w:tcPr>
          <w:p w14:paraId="394B8ACA" w14:textId="66DC0910" w:rsidR="00452BEA" w:rsidRPr="00A06425" w:rsidRDefault="00452BEA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22184C03" w14:textId="6619FAA2" w:rsidR="00452BEA" w:rsidRDefault="00452BE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1928E6C2" w14:textId="4FBC4706" w:rsidR="00452BEA" w:rsidRPr="00A06425" w:rsidRDefault="00452BEA" w:rsidP="00452B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2BEA">
              <w:rPr>
                <w:rFonts w:asciiTheme="minorHAnsi" w:hAnsiTheme="minorHAnsi" w:cstheme="minorHAnsi"/>
                <w:sz w:val="22"/>
                <w:szCs w:val="22"/>
              </w:rPr>
              <w:t xml:space="preserve">Rozdział 2.3 „Udostępnione informacje sektora publicznego i </w:t>
            </w:r>
            <w:proofErr w:type="spellStart"/>
            <w:r w:rsidRPr="00452BEA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452BEA">
              <w:rPr>
                <w:rFonts w:asciiTheme="minorHAnsi" w:hAnsiTheme="minorHAnsi" w:cstheme="minorHAnsi"/>
                <w:sz w:val="22"/>
                <w:szCs w:val="22"/>
              </w:rPr>
              <w:t xml:space="preserve"> zasoby”</w:t>
            </w:r>
          </w:p>
        </w:tc>
        <w:tc>
          <w:tcPr>
            <w:tcW w:w="4678" w:type="dxa"/>
          </w:tcPr>
          <w:p w14:paraId="26375522" w14:textId="77777777" w:rsidR="00452BEA" w:rsidRPr="00452BEA" w:rsidRDefault="00452BEA" w:rsidP="00452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2BEA">
              <w:rPr>
                <w:rFonts w:asciiTheme="minorHAnsi" w:hAnsiTheme="minorHAnsi" w:cstheme="minorHAnsi"/>
                <w:sz w:val="22"/>
                <w:szCs w:val="22"/>
              </w:rPr>
              <w:t>Dokumentacja nie pozwala jednoznacznie określić, jaka część wskazanych zasobów będzie faktycznie podlegała digitalizacji, a jaka stanowi zasoby już istniejące w postaci cyfrowej, które będą wyłącznie agregowane, integrowane lub ponownie udostępniane.</w:t>
            </w:r>
          </w:p>
          <w:p w14:paraId="512967E2" w14:textId="77777777" w:rsidR="00452BEA" w:rsidRPr="00A06425" w:rsidRDefault="00452BE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3C8326EA" w14:textId="2BC1D0F1" w:rsidR="00452BEA" w:rsidRPr="00A06425" w:rsidRDefault="00452BEA" w:rsidP="00452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2BEA">
              <w:rPr>
                <w:rFonts w:asciiTheme="minorHAnsi" w:hAnsiTheme="minorHAnsi" w:cstheme="minorHAnsi"/>
                <w:sz w:val="22"/>
                <w:szCs w:val="22"/>
              </w:rPr>
              <w:t xml:space="preserve">Prosimy o przedstawienie zestawienia rozdzielającego zasoby podlegające digitalizacji od zasobów już </w:t>
            </w:r>
            <w:proofErr w:type="spellStart"/>
            <w:r w:rsidRPr="00452BEA">
              <w:rPr>
                <w:rFonts w:asciiTheme="minorHAnsi" w:hAnsiTheme="minorHAnsi" w:cstheme="minorHAnsi"/>
                <w:sz w:val="22"/>
                <w:szCs w:val="22"/>
              </w:rPr>
              <w:t>zdigitalizowanych</w:t>
            </w:r>
            <w:proofErr w:type="spellEnd"/>
            <w:r w:rsidRPr="00452BEA">
              <w:rPr>
                <w:rFonts w:asciiTheme="minorHAnsi" w:hAnsiTheme="minorHAnsi" w:cstheme="minorHAnsi"/>
                <w:sz w:val="22"/>
                <w:szCs w:val="22"/>
              </w:rPr>
              <w:t>, które będą wyłącznie integrowane lub udostępniane za pośrednictwem platformy WIEDZ@.</w:t>
            </w:r>
          </w:p>
        </w:tc>
        <w:tc>
          <w:tcPr>
            <w:tcW w:w="1359" w:type="dxa"/>
          </w:tcPr>
          <w:p w14:paraId="0E78A25F" w14:textId="77777777" w:rsidR="00452BEA" w:rsidRPr="00A06425" w:rsidRDefault="00452BE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5294" w:rsidRPr="00A06425" w14:paraId="2404D263" w14:textId="77777777" w:rsidTr="00A06425">
        <w:tc>
          <w:tcPr>
            <w:tcW w:w="562" w:type="dxa"/>
          </w:tcPr>
          <w:p w14:paraId="040574FC" w14:textId="642CDB42" w:rsidR="00C95294" w:rsidRDefault="00C95294" w:rsidP="00C9529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6065ACC7" w14:textId="0DB0FB63" w:rsidR="00C95294" w:rsidRDefault="00C95294" w:rsidP="00C9529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129B4375" w14:textId="77777777" w:rsidR="00C95294" w:rsidRDefault="00C95294" w:rsidP="00C9529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14:paraId="37A24834" w14:textId="69779646" w:rsidR="00C95294" w:rsidRPr="00452BEA" w:rsidRDefault="00C95294" w:rsidP="00C9529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4678" w:type="dxa"/>
          </w:tcPr>
          <w:p w14:paraId="2BCCF32B" w14:textId="6E24C291" w:rsidR="00C95294" w:rsidRDefault="00441AD3" w:rsidP="00C952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Zwracamy</w:t>
            </w:r>
            <w:r w:rsidR="00C95294">
              <w:rPr>
                <w:rFonts w:asciiTheme="minorHAnsi" w:hAnsiTheme="minorHAnsi" w:cstheme="minorHAnsi"/>
                <w:sz w:val="22"/>
                <w:szCs w:val="22"/>
              </w:rPr>
              <w:t xml:space="preserve"> uwagę na konieczność stosowania zasad „otwartości w fazie projektowania” oraz „otwartości domyślnej”</w:t>
            </w:r>
          </w:p>
          <w:p w14:paraId="70997622" w14:textId="77777777" w:rsidR="00C95294" w:rsidRDefault="00C95294" w:rsidP="00C952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przy budowaniu i modernizowaniu infrastruktury informatycznej. W związku z planowanym udostępnieniem zasobów danych należy dokonać analizy możliwości ich udostępnienia również  w portalu dane.gov.pl. </w:t>
            </w:r>
          </w:p>
          <w:p w14:paraId="67B8BAAB" w14:textId="77777777" w:rsidR="00C95294" w:rsidRPr="00452BEA" w:rsidRDefault="00C95294" w:rsidP="00C952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34DE32C6" w14:textId="4A55FB6D" w:rsidR="00C95294" w:rsidRPr="00452BEA" w:rsidRDefault="00C95294" w:rsidP="00C952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uwzględnienia uwagi prosimy o uzupełnienie dokumentu o informacje dotyczące planowanej publikacji danych w portalu dane.gov.pl.</w:t>
            </w:r>
          </w:p>
        </w:tc>
        <w:tc>
          <w:tcPr>
            <w:tcW w:w="1359" w:type="dxa"/>
          </w:tcPr>
          <w:p w14:paraId="4B4EAB0C" w14:textId="77777777" w:rsidR="00C95294" w:rsidRPr="00A06425" w:rsidRDefault="00C95294" w:rsidP="00C9529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27319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30F3D"/>
    <w:rsid w:val="001347BA"/>
    <w:rsid w:val="00140BE8"/>
    <w:rsid w:val="0019648E"/>
    <w:rsid w:val="001A19B1"/>
    <w:rsid w:val="002715B2"/>
    <w:rsid w:val="002F29CD"/>
    <w:rsid w:val="003124D1"/>
    <w:rsid w:val="003B4105"/>
    <w:rsid w:val="00412A72"/>
    <w:rsid w:val="004217ED"/>
    <w:rsid w:val="00441AD3"/>
    <w:rsid w:val="00452BEA"/>
    <w:rsid w:val="004955D0"/>
    <w:rsid w:val="004D086F"/>
    <w:rsid w:val="005F6527"/>
    <w:rsid w:val="006705EC"/>
    <w:rsid w:val="006E16E9"/>
    <w:rsid w:val="00807385"/>
    <w:rsid w:val="00871E37"/>
    <w:rsid w:val="00944932"/>
    <w:rsid w:val="00954085"/>
    <w:rsid w:val="009E5FDB"/>
    <w:rsid w:val="00A06425"/>
    <w:rsid w:val="00A5225D"/>
    <w:rsid w:val="00A9001D"/>
    <w:rsid w:val="00AC7796"/>
    <w:rsid w:val="00AE7807"/>
    <w:rsid w:val="00B871B6"/>
    <w:rsid w:val="00C64B1B"/>
    <w:rsid w:val="00C95294"/>
    <w:rsid w:val="00CA0B47"/>
    <w:rsid w:val="00CB23F8"/>
    <w:rsid w:val="00CD5EB0"/>
    <w:rsid w:val="00D67A35"/>
    <w:rsid w:val="00DF5629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2026-06-11T06:54:00Z</dcterms:created>
  <dcterms:modified xsi:type="dcterms:W3CDTF">2026-06-11T06:54:00Z</dcterms:modified>
</cp:coreProperties>
</file>